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8378325</wp:posOffset>
            </wp:positionH>
            <wp:positionV relativeFrom="paragraph">
              <wp:posOffset>114300</wp:posOffset>
            </wp:positionV>
            <wp:extent cx="1235438" cy="1235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5438" cy="1235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685"/>
        <w:gridCol w:w="2580"/>
        <w:gridCol w:w="2220"/>
        <w:gridCol w:w="2430"/>
        <w:gridCol w:w="2355"/>
        <w:tblGridChange w:id="0">
          <w:tblGrid>
            <w:gridCol w:w="2205"/>
            <w:gridCol w:w="2685"/>
            <w:gridCol w:w="2580"/>
            <w:gridCol w:w="2220"/>
            <w:gridCol w:w="2430"/>
            <w:gridCol w:w="2355"/>
          </w:tblGrid>
        </w:tblGridChange>
      </w:tblGrid>
      <w:tr>
        <w:trPr>
          <w:trHeight w:val="900" w:hRule="atLeast"/>
        </w:trPr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shd w:fill="f3f3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What I’m aware of...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Do I attend or ignore?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How do I manage it?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Does this serve me well?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Is there something else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I could do?</w:t>
            </w:r>
          </w:p>
        </w:tc>
      </w:tr>
      <w:tr>
        <w:trPr>
          <w:trHeight w:val="900" w:hRule="atLeast"/>
        </w:trPr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Head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A pressure type feeling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I tell myself I’m going to fail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I worry about being judged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Body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Ache at the base of skull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Clenched jaw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Heart flutters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Emotions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Teary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Easily frustrated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sz w:val="24"/>
                <w:szCs w:val="24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Behaviour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Avoiding time with family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0"/>
                <w:szCs w:val="20"/>
                <w:rtl w:val="0"/>
              </w:rPr>
              <w:t xml:space="preserve">* Drinking more alcohol</w:t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64646" w:space="0" w:sz="8" w:val="single"/>
              <w:left w:color="464646" w:space="0" w:sz="8" w:val="single"/>
              <w:bottom w:color="464646" w:space="0" w:sz="8" w:val="single"/>
              <w:right w:color="464646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cente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contextualSpacing w:val="0"/>
      <w:jc w:val="center"/>
      <w:rPr>
        <w:rFonts w:ascii="Playfair Display" w:cs="Playfair Display" w:eastAsia="Playfair Display" w:hAnsi="Playfair Display"/>
        <w:sz w:val="18"/>
        <w:szCs w:val="18"/>
      </w:rPr>
    </w:pP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Alex Carling: Training &amp; Therapeutic Services (Hons.) | Dip. | MBACP)</w:t>
    </w:r>
  </w:p>
  <w:p w:rsidR="00000000" w:rsidDel="00000000" w:rsidP="00000000" w:rsidRDefault="00000000" w:rsidRPr="00000000" w14:paraId="00000034">
    <w:pPr>
      <w:contextualSpacing w:val="0"/>
      <w:jc w:val="center"/>
      <w:rPr>
        <w:rFonts w:ascii="Playfair Display" w:cs="Playfair Display" w:eastAsia="Playfair Display" w:hAnsi="Playfair Display"/>
        <w:sz w:val="18"/>
        <w:szCs w:val="18"/>
      </w:rPr>
    </w:pP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Counselling </w:t>
    </w:r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| 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Psychotherapy</w:t>
    </w:r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 |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 Consultancy </w:t>
    </w:r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|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 Training </w:t>
    </w:r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|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 Schools</w:t>
    </w:r>
  </w:p>
  <w:p w:rsidR="00000000" w:rsidDel="00000000" w:rsidP="00000000" w:rsidRDefault="00000000" w:rsidRPr="00000000" w14:paraId="00000035">
    <w:pPr>
      <w:contextualSpacing w:val="0"/>
      <w:jc w:val="center"/>
      <w:rPr>
        <w:rFonts w:ascii="Playfair Display" w:cs="Playfair Display" w:eastAsia="Playfair Display" w:hAnsi="Playfair Display"/>
        <w:sz w:val="18"/>
        <w:szCs w:val="18"/>
      </w:rPr>
    </w:pPr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Web: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color w:val="1155cc"/>
          <w:sz w:val="18"/>
          <w:szCs w:val="18"/>
          <w:u w:val="single"/>
          <w:rtl w:val="0"/>
        </w:rPr>
        <w:t xml:space="preserve">www.counsellinginhull.co.uk</w:t>
      </w:r>
    </w:hyperlink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      Email: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color w:val="1155cc"/>
          <w:sz w:val="18"/>
          <w:szCs w:val="18"/>
          <w:u w:val="single"/>
          <w:rtl w:val="0"/>
        </w:rPr>
        <w:t xml:space="preserve">alex@counsellinginhull.co.uk</w:t>
      </w:r>
    </w:hyperlink>
    <w:r w:rsidDel="00000000" w:rsidR="00000000" w:rsidRPr="00000000">
      <w:rPr>
        <w:rFonts w:ascii="Playfair Display" w:cs="Playfair Display" w:eastAsia="Playfair Display" w:hAnsi="Playfair Display"/>
        <w:color w:val="f0bf00"/>
        <w:sz w:val="18"/>
        <w:szCs w:val="18"/>
        <w:rtl w:val="0"/>
      </w:rPr>
      <w:t xml:space="preserve">      Tel: </w:t>
    </w:r>
    <w:r w:rsidDel="00000000" w:rsidR="00000000" w:rsidRPr="00000000">
      <w:rPr>
        <w:rFonts w:ascii="Playfair Display" w:cs="Playfair Display" w:eastAsia="Playfair Display" w:hAnsi="Playfair Display"/>
        <w:sz w:val="18"/>
        <w:szCs w:val="18"/>
        <w:rtl w:val="0"/>
      </w:rPr>
      <w:t xml:space="preserve">07980 291528</w:t>
    </w:r>
  </w:p>
  <w:p w:rsidR="00000000" w:rsidDel="00000000" w:rsidP="00000000" w:rsidRDefault="00000000" w:rsidRPr="00000000" w14:paraId="00000036">
    <w:pPr>
      <w:contextualSpacing w:val="0"/>
      <w:jc w:val="left"/>
      <w:rPr>
        <w:rFonts w:ascii="Playfair Display" w:cs="Playfair Display" w:eastAsia="Playfair Display" w:hAnsi="Playfair Display"/>
        <w:color w:val="333333"/>
        <w:sz w:val="18"/>
        <w:szCs w:val="18"/>
        <w:highlight w:val="whit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unsellinginhull.co.uk" TargetMode="External"/><Relationship Id="rId2" Type="http://schemas.openxmlformats.org/officeDocument/2006/relationships/hyperlink" Target="mailto:alex@counsellinginhu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